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2E2" w:rsidRDefault="00BB12E2" w:rsidP="00D43956">
      <w:pPr>
        <w:shd w:val="clear" w:color="auto" w:fill="FFFFFF" w:themeFill="background1"/>
        <w:rPr>
          <w:lang w:val="ro-MD"/>
        </w:rPr>
      </w:pPr>
      <w:bookmarkStart w:id="0" w:name="_GoBack"/>
      <w:bookmarkEnd w:id="0"/>
    </w:p>
    <w:p w:rsidR="00D43956" w:rsidRPr="00D05999" w:rsidRDefault="00D43956" w:rsidP="00D43956">
      <w:pPr>
        <w:shd w:val="clear" w:color="auto" w:fill="FFFFFF" w:themeFill="background1"/>
        <w:spacing w:after="0" w:line="240" w:lineRule="auto"/>
        <w:ind w:left="10206" w:right="-320" w:firstLine="720"/>
        <w:jc w:val="both"/>
        <w:outlineLvl w:val="0"/>
        <w:rPr>
          <w:rFonts w:ascii="Times New Roman" w:eastAsia="Times New Roman" w:hAnsi="Times New Roman"/>
          <w:bCs/>
          <w:sz w:val="24"/>
          <w:szCs w:val="24"/>
          <w:lang w:val="ro-RO" w:eastAsia="ru-RU"/>
        </w:rPr>
      </w:pPr>
      <w:r w:rsidRPr="00D05999">
        <w:rPr>
          <w:rFonts w:ascii="Times New Roman" w:eastAsia="Times New Roman" w:hAnsi="Times New Roman"/>
          <w:bCs/>
          <w:sz w:val="24"/>
          <w:szCs w:val="24"/>
          <w:lang w:val="ro-RO" w:eastAsia="ru-RU"/>
        </w:rPr>
        <w:t xml:space="preserve">Aprobat </w:t>
      </w:r>
    </w:p>
    <w:p w:rsidR="00D43956" w:rsidRPr="00D05999" w:rsidRDefault="00D43956" w:rsidP="00D43956">
      <w:pPr>
        <w:shd w:val="clear" w:color="auto" w:fill="FFFFFF" w:themeFill="background1"/>
        <w:spacing w:after="0" w:line="240" w:lineRule="auto"/>
        <w:ind w:left="10206" w:right="-320"/>
        <w:jc w:val="both"/>
        <w:outlineLvl w:val="0"/>
        <w:rPr>
          <w:rFonts w:ascii="Times New Roman" w:eastAsia="Times New Roman" w:hAnsi="Times New Roman"/>
          <w:bCs/>
          <w:sz w:val="24"/>
          <w:szCs w:val="24"/>
          <w:lang w:val="ro-RO" w:eastAsia="ru-RU"/>
        </w:rPr>
      </w:pPr>
      <w:r w:rsidRPr="00D05999">
        <w:rPr>
          <w:rFonts w:ascii="Times New Roman" w:eastAsia="Times New Roman" w:hAnsi="Times New Roman"/>
          <w:bCs/>
          <w:sz w:val="24"/>
          <w:szCs w:val="24"/>
          <w:lang w:val="ro-RO" w:eastAsia="ru-RU"/>
        </w:rPr>
        <w:t>prin Hotărârea Comisiei naționale</w:t>
      </w:r>
    </w:p>
    <w:p w:rsidR="00D43956" w:rsidRPr="00D05999" w:rsidRDefault="00D43956" w:rsidP="00D43956">
      <w:pPr>
        <w:shd w:val="clear" w:color="auto" w:fill="FFFFFF" w:themeFill="background1"/>
        <w:spacing w:after="0" w:line="240" w:lineRule="auto"/>
        <w:ind w:left="10206" w:right="-320"/>
        <w:jc w:val="both"/>
        <w:outlineLvl w:val="0"/>
        <w:rPr>
          <w:rFonts w:ascii="Times New Roman" w:eastAsia="Times New Roman" w:hAnsi="Times New Roman"/>
          <w:bCs/>
          <w:sz w:val="24"/>
          <w:szCs w:val="24"/>
          <w:lang w:val="ro-RO" w:eastAsia="ru-RU"/>
        </w:rPr>
      </w:pPr>
      <w:r w:rsidRPr="00D05999">
        <w:rPr>
          <w:rFonts w:ascii="Times New Roman" w:eastAsia="Times New Roman" w:hAnsi="Times New Roman"/>
          <w:bCs/>
          <w:sz w:val="24"/>
          <w:szCs w:val="24"/>
          <w:lang w:val="ro-RO" w:eastAsia="ru-RU"/>
        </w:rPr>
        <w:t>pentru consultări și negocieri colective nr.</w:t>
      </w:r>
      <w:r>
        <w:rPr>
          <w:rFonts w:ascii="Times New Roman" w:eastAsia="Times New Roman" w:hAnsi="Times New Roman"/>
          <w:bCs/>
          <w:sz w:val="24"/>
          <w:szCs w:val="24"/>
          <w:lang w:val="ro-RO" w:eastAsia="ru-RU"/>
        </w:rPr>
        <w:t xml:space="preserve"> 6 </w:t>
      </w:r>
      <w:r w:rsidRPr="00D05999">
        <w:rPr>
          <w:rFonts w:ascii="Times New Roman" w:eastAsia="Times New Roman" w:hAnsi="Times New Roman"/>
          <w:bCs/>
          <w:sz w:val="24"/>
          <w:szCs w:val="24"/>
          <w:lang w:val="ro-RO" w:eastAsia="ru-RU"/>
        </w:rPr>
        <w:t xml:space="preserve">din </w:t>
      </w:r>
      <w:r>
        <w:rPr>
          <w:rFonts w:ascii="Times New Roman" w:eastAsia="Times New Roman" w:hAnsi="Times New Roman"/>
          <w:bCs/>
          <w:sz w:val="24"/>
          <w:szCs w:val="24"/>
          <w:lang w:val="ro-RO" w:eastAsia="ru-RU"/>
        </w:rPr>
        <w:t>28</w:t>
      </w:r>
      <w:r w:rsidRPr="00D05999">
        <w:rPr>
          <w:rFonts w:ascii="Times New Roman" w:eastAsia="Times New Roman" w:hAnsi="Times New Roman"/>
          <w:bCs/>
          <w:sz w:val="24"/>
          <w:szCs w:val="24"/>
          <w:lang w:val="ro-RO" w:eastAsia="ru-RU"/>
        </w:rPr>
        <w:t xml:space="preserve"> februarie 2020</w:t>
      </w:r>
    </w:p>
    <w:p w:rsidR="00D43956" w:rsidRPr="00D05999" w:rsidRDefault="00D43956" w:rsidP="00D43956">
      <w:pPr>
        <w:shd w:val="clear" w:color="auto" w:fill="FFFFFF" w:themeFill="background1"/>
        <w:spacing w:after="0" w:line="240" w:lineRule="auto"/>
        <w:ind w:right="247"/>
        <w:jc w:val="center"/>
        <w:outlineLvl w:val="0"/>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Planul de activitate</w:t>
      </w:r>
    </w:p>
    <w:p w:rsidR="00D43956" w:rsidRPr="00D05999" w:rsidRDefault="00D43956" w:rsidP="00D43956">
      <w:pPr>
        <w:shd w:val="clear" w:color="auto" w:fill="FFFFFF" w:themeFill="background1"/>
        <w:spacing w:after="0" w:line="240" w:lineRule="auto"/>
        <w:ind w:right="247"/>
        <w:jc w:val="center"/>
        <w:outlineLvl w:val="0"/>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 xml:space="preserve"> al Comisiei naționale pentru consultări și negocieri colective</w:t>
      </w:r>
    </w:p>
    <w:p w:rsidR="00D43956" w:rsidRPr="00D05999" w:rsidRDefault="00D43956" w:rsidP="00D43956">
      <w:pPr>
        <w:shd w:val="clear" w:color="auto" w:fill="FFFFFF" w:themeFill="background1"/>
        <w:tabs>
          <w:tab w:val="left" w:pos="13572"/>
        </w:tabs>
        <w:spacing w:after="0" w:line="240" w:lineRule="auto"/>
        <w:ind w:left="-426" w:right="-603"/>
        <w:jc w:val="center"/>
        <w:outlineLvl w:val="0"/>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pentru semestrul I, anul 2020</w:t>
      </w:r>
    </w:p>
    <w:p w:rsidR="00D43956" w:rsidRDefault="00D43956" w:rsidP="00D43956">
      <w:pPr>
        <w:shd w:val="clear" w:color="auto" w:fill="FFFFFF" w:themeFill="background1"/>
        <w:tabs>
          <w:tab w:val="left" w:pos="13572"/>
        </w:tabs>
        <w:spacing w:after="0" w:line="240" w:lineRule="auto"/>
        <w:ind w:left="-426" w:right="-603"/>
        <w:jc w:val="center"/>
        <w:outlineLvl w:val="0"/>
        <w:rPr>
          <w:rFonts w:ascii="Times New Roman" w:eastAsia="Times New Roman" w:hAnsi="Times New Roman"/>
          <w:b/>
          <w:sz w:val="24"/>
          <w:szCs w:val="24"/>
          <w:lang w:val="ro-RO" w:eastAsia="ru-RU"/>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21"/>
        <w:gridCol w:w="2410"/>
        <w:gridCol w:w="1417"/>
        <w:gridCol w:w="2835"/>
      </w:tblGrid>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108" w:right="-391"/>
              <w:jc w:val="both"/>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 xml:space="preserve">Nr. </w:t>
            </w:r>
          </w:p>
          <w:p w:rsidR="00D43956" w:rsidRPr="00D05999" w:rsidRDefault="00D43956" w:rsidP="00D43956">
            <w:pPr>
              <w:shd w:val="clear" w:color="auto" w:fill="FFFFFF" w:themeFill="background1"/>
              <w:tabs>
                <w:tab w:val="left" w:pos="13572"/>
              </w:tabs>
              <w:spacing w:after="0" w:line="240" w:lineRule="auto"/>
              <w:ind w:left="-108" w:right="-391"/>
              <w:jc w:val="both"/>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d/o</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24"/>
              <w:jc w:val="center"/>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Denumirea chestiunii</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Iniţiator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Perioada</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Raportor/</w:t>
            </w:r>
          </w:p>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coraportor</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proiectul Convenției colective (nivel național) privind sporurile de compensare pentru munca în condiții nefavorabile</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martie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MF, CNSM, CNPM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proiectul Convenției colective (nivel național) pentru aprobarea modului și condițiilor de acordare a claselor de calificare pentru conducătorii auto</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martie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MF, CNSM, CNPM</w:t>
            </w:r>
          </w:p>
        </w:tc>
      </w:tr>
      <w:tr w:rsidR="00D43956" w:rsidRPr="00347397"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hAnsi="Times New Roman"/>
                <w:sz w:val="24"/>
                <w:szCs w:val="24"/>
                <w:lang w:val="ro-RO"/>
              </w:rPr>
              <w:t>Cu privire la necesitatea ajustării tarifelor la transportul auto de călători (interurban şi raional) în conformitate cu Me</w:t>
            </w:r>
            <w:r w:rsidR="003102D1">
              <w:rPr>
                <w:rFonts w:ascii="Times New Roman" w:hAnsi="Times New Roman"/>
                <w:sz w:val="24"/>
                <w:szCs w:val="24"/>
                <w:lang w:val="ro-RO"/>
              </w:rPr>
              <w:t>todologia  aprobată de Guvern (</w:t>
            </w:r>
            <w:r w:rsidRPr="00D05999">
              <w:rPr>
                <w:rFonts w:ascii="Times New Roman" w:hAnsi="Times New Roman"/>
                <w:sz w:val="24"/>
                <w:szCs w:val="24"/>
                <w:lang w:val="ro-RO"/>
              </w:rPr>
              <w:t>HG.nr.1167 din 29.10.2007).</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CNPM,</w:t>
            </w:r>
          </w:p>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Uniunea Transportatorilor și Drumarilor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martie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sidRPr="00D05999">
              <w:rPr>
                <w:rFonts w:ascii="Times New Roman" w:hAnsi="Times New Roman"/>
                <w:sz w:val="24"/>
                <w:szCs w:val="24"/>
                <w:lang w:val="ro-RO"/>
              </w:rPr>
              <w:t>Uniunea Transportatorilor și Drumarilor,</w:t>
            </w:r>
          </w:p>
          <w:p w:rsidR="00D43956" w:rsidRPr="00D05999" w:rsidRDefault="00D43956" w:rsidP="00D43956">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sidRPr="00D05999">
              <w:rPr>
                <w:rFonts w:ascii="Times New Roman" w:hAnsi="Times New Roman"/>
                <w:sz w:val="24"/>
                <w:szCs w:val="24"/>
                <w:lang w:val="ro-RO"/>
              </w:rPr>
              <w:t>MEI</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modificarea și completarea Hotărârii Guvernului nr. 802 din 29.10.2015 pentru aprobarea Regulamentului cu privire la modul de calcul, repartizare, utilizare și evidență a transferurilor cu destinație specială pentru susținerea cadrelor didactice tinere, precum și pentru modificarea, completarea și abrogarea unor hotărâri ale Guvernului, în partea ce ține de acordarea indemnizației unice tinerilor specialiști, angajați prin repartizare</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martie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MECC</w:t>
            </w:r>
          </w:p>
          <w:p w:rsidR="00D43956" w:rsidRPr="00D05999" w:rsidRDefault="00D43956" w:rsidP="00D43956">
            <w:pPr>
              <w:shd w:val="clear" w:color="auto" w:fill="FFFFFF" w:themeFill="background1"/>
              <w:tabs>
                <w:tab w:val="left" w:pos="13572"/>
              </w:tabs>
              <w:spacing w:after="0" w:line="240" w:lineRule="auto"/>
              <w:ind w:left="34"/>
              <w:rPr>
                <w:rFonts w:ascii="Times New Roman" w:eastAsia="Times New Roman" w:hAnsi="Times New Roman"/>
                <w:sz w:val="24"/>
                <w:szCs w:val="24"/>
                <w:lang w:val="ro-RO" w:eastAsia="ru-RU"/>
              </w:rPr>
            </w:pP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inițierea procesului de ratificare a Convenției OIM nr. 102/1952 privind normele minime de securitate socială</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martie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CNSM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hAnsi="Times New Roman"/>
                <w:sz w:val="24"/>
                <w:szCs w:val="24"/>
                <w:lang w:val="ro-RO"/>
              </w:rPr>
              <w:t>Examinarea situaţiei cu privire la continuarea elaborării a proiectului Codului Urbanismului şi Construcţiilor, retras de Guvern prin HG 515/2019</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 xml:space="preserve">CNPM, </w:t>
            </w:r>
          </w:p>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FP „CONDRUMAT”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martie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sidRPr="00D05999">
              <w:rPr>
                <w:rFonts w:ascii="Times New Roman" w:hAnsi="Times New Roman"/>
                <w:sz w:val="24"/>
                <w:szCs w:val="24"/>
                <w:lang w:val="ro-RO"/>
              </w:rPr>
              <w:t>MEI,</w:t>
            </w:r>
          </w:p>
          <w:p w:rsidR="00D43956" w:rsidRPr="00D05999" w:rsidRDefault="00D43956" w:rsidP="00D43956">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sidRPr="00D05999">
              <w:rPr>
                <w:rFonts w:ascii="Times New Roman" w:hAnsi="Times New Roman"/>
                <w:sz w:val="24"/>
                <w:szCs w:val="24"/>
                <w:lang w:val="ro-RO"/>
              </w:rPr>
              <w:t>FP „CONDRUMAT”</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modificarea și completarea cadrului legal referitor la minimul de existență</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martie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CNSM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activitatea comitetelor sectoriale pentru formare profesională</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martie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sidRPr="00D05999">
              <w:rPr>
                <w:rFonts w:ascii="Times New Roman" w:hAnsi="Times New Roman"/>
                <w:sz w:val="24"/>
                <w:szCs w:val="24"/>
                <w:lang w:val="ro-RO"/>
              </w:rPr>
              <w:t>MSMPS, CNSM,</w:t>
            </w:r>
          </w:p>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CNPM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hAnsi="Times New Roman"/>
                <w:sz w:val="24"/>
                <w:szCs w:val="24"/>
                <w:lang w:val="ro-RO"/>
              </w:rPr>
              <w:t>Examinarea propunerilor pentru modificarea legislaţiei privind achiziţiile publice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 xml:space="preserve">CNPM, </w:t>
            </w:r>
          </w:p>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FP „CONDRUMAT”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aprilie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MF,</w:t>
            </w:r>
          </w:p>
          <w:p w:rsidR="00D43956" w:rsidRPr="00D05999" w:rsidRDefault="00D43956" w:rsidP="00D43956">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sidRPr="00D05999">
              <w:rPr>
                <w:rFonts w:ascii="Times New Roman" w:hAnsi="Times New Roman"/>
                <w:sz w:val="24"/>
                <w:szCs w:val="24"/>
                <w:lang w:val="ro-RO"/>
              </w:rPr>
              <w:t>FP „CONDRUMAT”</w:t>
            </w:r>
          </w:p>
        </w:tc>
      </w:tr>
      <w:tr w:rsidR="00D43956" w:rsidRPr="00347397"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shd w:val="clear" w:color="auto" w:fill="FFFFFF" w:themeFill="background1"/>
              <w:spacing w:after="0"/>
              <w:ind w:left="0"/>
              <w:rPr>
                <w:rFonts w:ascii="Times New Roman" w:hAnsi="Times New Roman"/>
                <w:sz w:val="24"/>
                <w:szCs w:val="24"/>
                <w:lang w:val="ro-RO"/>
              </w:rPr>
            </w:pPr>
            <w:r w:rsidRPr="00D05999">
              <w:rPr>
                <w:rFonts w:ascii="Times New Roman" w:hAnsi="Times New Roman"/>
                <w:sz w:val="24"/>
                <w:szCs w:val="24"/>
                <w:lang w:val="ro-RO"/>
              </w:rPr>
              <w:t>Cu privire la modificarea Codului Transporturilor Rutiere şi reglementărilor de implementare al acestuia.</w:t>
            </w:r>
          </w:p>
          <w:p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 xml:space="preserve">CNPM, </w:t>
            </w:r>
            <w:r w:rsidRPr="00D05999">
              <w:rPr>
                <w:rFonts w:ascii="Times New Roman" w:hAnsi="Times New Roman"/>
                <w:sz w:val="24"/>
                <w:szCs w:val="24"/>
                <w:lang w:val="ro-RO"/>
              </w:rPr>
              <w:t>Uniunea Transportatorilor și Drumarilor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aprilie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spacing w:after="0"/>
              <w:ind w:left="-108"/>
              <w:jc w:val="center"/>
              <w:rPr>
                <w:rFonts w:ascii="Times New Roman" w:hAnsi="Times New Roman"/>
                <w:sz w:val="24"/>
                <w:szCs w:val="24"/>
                <w:lang w:val="ro-RO"/>
              </w:rPr>
            </w:pPr>
            <w:r w:rsidRPr="00D05999">
              <w:rPr>
                <w:rFonts w:ascii="Times New Roman" w:hAnsi="Times New Roman"/>
                <w:sz w:val="24"/>
                <w:szCs w:val="24"/>
                <w:lang w:val="ro-RO"/>
              </w:rPr>
              <w:t>Uniunea Transportatorilor și Drumarilor, MEI</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shd w:val="clear" w:color="auto" w:fill="FFFFFF" w:themeFill="background1"/>
              <w:spacing w:after="0"/>
              <w:ind w:left="0"/>
              <w:rPr>
                <w:rFonts w:ascii="Times New Roman" w:hAnsi="Times New Roman"/>
                <w:sz w:val="24"/>
                <w:szCs w:val="24"/>
                <w:lang w:val="ro-RO"/>
              </w:rPr>
            </w:pPr>
            <w:r w:rsidRPr="00D05999">
              <w:rPr>
                <w:rFonts w:ascii="Times New Roman" w:hAnsi="Times New Roman"/>
                <w:sz w:val="24"/>
                <w:szCs w:val="24"/>
                <w:lang w:val="ro-RO"/>
              </w:rPr>
              <w:t>Cu privire la impactul și efectele implementării Legii nr. 270/2018, privind sistemul unitar de salarizare în sectorul bugetar</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aprilie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spacing w:after="0"/>
              <w:ind w:left="-108"/>
              <w:jc w:val="center"/>
              <w:rPr>
                <w:rFonts w:ascii="Times New Roman" w:hAnsi="Times New Roman"/>
                <w:sz w:val="24"/>
                <w:szCs w:val="24"/>
                <w:lang w:val="ro-RO"/>
              </w:rPr>
            </w:pPr>
            <w:r w:rsidRPr="00D05999">
              <w:rPr>
                <w:rFonts w:ascii="Times New Roman" w:hAnsi="Times New Roman"/>
                <w:sz w:val="24"/>
                <w:szCs w:val="24"/>
                <w:lang w:val="ro-RO"/>
              </w:rPr>
              <w:t>MF, CNSM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shd w:val="clear" w:color="auto" w:fill="FFFFFF" w:themeFill="background1"/>
              <w:spacing w:after="0"/>
              <w:ind w:left="0"/>
              <w:rPr>
                <w:rFonts w:ascii="Times New Roman" w:hAnsi="Times New Roman"/>
                <w:sz w:val="24"/>
                <w:szCs w:val="24"/>
                <w:lang w:val="ro-RO"/>
              </w:rPr>
            </w:pPr>
            <w:r w:rsidRPr="00D05999">
              <w:rPr>
                <w:rFonts w:ascii="Times New Roman" w:hAnsi="Times New Roman"/>
                <w:sz w:val="24"/>
                <w:szCs w:val="24"/>
                <w:lang w:val="ro-RO"/>
              </w:rPr>
              <w:t>Cu privire la alocarea compensațiilor bănești (2000 de lei pentru materiale pentru activitate didactică) cadrelor didactice din învățământul profesional</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aprilie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spacing w:after="0"/>
              <w:ind w:left="-108"/>
              <w:jc w:val="center"/>
              <w:rPr>
                <w:rFonts w:ascii="Times New Roman" w:hAnsi="Times New Roman"/>
                <w:sz w:val="24"/>
                <w:szCs w:val="24"/>
                <w:lang w:val="ro-RO"/>
              </w:rPr>
            </w:pPr>
            <w:r w:rsidRPr="00D05999">
              <w:rPr>
                <w:rFonts w:ascii="Times New Roman" w:hAnsi="Times New Roman"/>
                <w:sz w:val="24"/>
                <w:szCs w:val="24"/>
                <w:lang w:val="ro-RO"/>
              </w:rPr>
              <w:t>MF, MECC, CNSM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stabilirea salariului minim pe țară în concordanță cu prevederile Legii 1432/2000 privind modul de stabilire și reexaminare a salariului minim</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aprilie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MF, MSMPS</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hAnsi="Times New Roman"/>
                <w:sz w:val="24"/>
                <w:szCs w:val="24"/>
                <w:lang w:val="ro-RO"/>
              </w:rPr>
              <w:t>Cu privire la mersul implementării cuantumului minim garantat al salariului în sectorul real în ramurile economiei naționale și stabilirea noii mărimi a cuantumului minim garantat al salariului în sectorul real</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aprilie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ISM CNSM, CNPM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hAnsi="Times New Roman"/>
                <w:sz w:val="24"/>
                <w:szCs w:val="24"/>
                <w:lang w:val="ro-RO"/>
              </w:rPr>
              <w:t>Cu privire la inițierea procesului de ratificare a Convenției OIM nr. 161/1985 privind serviciile de sănătate ocupațională</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aprilie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CNSM, CNPM</w:t>
            </w:r>
          </w:p>
        </w:tc>
      </w:tr>
      <w:tr w:rsidR="00D43956" w:rsidRPr="00347397"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hAnsi="Times New Roman"/>
                <w:sz w:val="24"/>
                <w:szCs w:val="24"/>
                <w:lang w:val="ro-RO"/>
              </w:rPr>
              <w:t xml:space="preserve">Aplicarea prevederilor privind organizarea activităților de eliberare a documentelor permisive (certificatelor de urbanism și autorizațiilor de construire) prin ghișeul unic, conform Hotărârii Guvernului nr.1469/2016 pentru aprobarea Regulamentului cu privire la crearea și funcționarea ghișeului unic de autorizare a lucrărilor de construcție. (Organizarea şi funcţionarea ghişeelor unice în Chişinău, Bălţi, Orhei, Ungheni, Cahul, </w:t>
            </w:r>
            <w:proofErr w:type="spellStart"/>
            <w:r w:rsidRPr="00D05999">
              <w:rPr>
                <w:rFonts w:ascii="Times New Roman" w:hAnsi="Times New Roman"/>
                <w:sz w:val="24"/>
                <w:szCs w:val="24"/>
                <w:lang w:val="ro-RO"/>
              </w:rPr>
              <w:t>Hînceşti</w:t>
            </w:r>
            <w:proofErr w:type="spellEnd"/>
            <w:r w:rsidRPr="00D05999">
              <w:rPr>
                <w:rFonts w:ascii="Times New Roman" w:hAnsi="Times New Roman"/>
                <w:sz w:val="24"/>
                <w:szCs w:val="24"/>
                <w:lang w:val="ro-RO"/>
              </w:rPr>
              <w:t>)</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hAnsi="Times New Roman"/>
                <w:sz w:val="24"/>
                <w:szCs w:val="24"/>
                <w:lang w:val="ro-RO"/>
              </w:rPr>
            </w:pPr>
            <w:r w:rsidRPr="00D05999">
              <w:rPr>
                <w:rFonts w:ascii="Times New Roman" w:hAnsi="Times New Roman"/>
                <w:sz w:val="24"/>
                <w:szCs w:val="24"/>
                <w:lang w:val="ro-RO"/>
              </w:rPr>
              <w:t>CNPM,</w:t>
            </w:r>
          </w:p>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hAnsi="Times New Roman"/>
                <w:sz w:val="24"/>
                <w:szCs w:val="24"/>
                <w:lang w:val="ro-RO"/>
              </w:rPr>
            </w:pPr>
            <w:r w:rsidRPr="00D05999">
              <w:rPr>
                <w:rFonts w:ascii="Times New Roman" w:hAnsi="Times New Roman"/>
                <w:sz w:val="24"/>
                <w:szCs w:val="24"/>
                <w:lang w:val="ro-RO"/>
              </w:rPr>
              <w:t>MEI,</w:t>
            </w:r>
          </w:p>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Federația Patronală „CONDRUMAT”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aprilie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sidRPr="00D05999">
              <w:rPr>
                <w:rFonts w:ascii="Times New Roman" w:hAnsi="Times New Roman"/>
                <w:sz w:val="24"/>
                <w:szCs w:val="24"/>
                <w:lang w:val="ro-RO"/>
              </w:rPr>
              <w:t>MEI, Agenția pentru Supraveghere Tehnică, MECC, MAI, FP „CONDRUMAT” reprezentanții APL</w:t>
            </w:r>
          </w:p>
        </w:tc>
      </w:tr>
      <w:tr w:rsidR="00D43956" w:rsidRPr="00347397"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 xml:space="preserve">Cu privire la stabilirea programului de muncă în schimburi pentru cazurile când durata procesului de activitate depășește durata admisă a zilei de muncă </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MF,</w:t>
            </w:r>
          </w:p>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Serviciul Vamal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Federația Sindicatelor Angajaților din Serviciile Publice</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situația de criză din ramura producătorilor de zahăr</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mai</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ind w:right="-5"/>
              <w:jc w:val="center"/>
              <w:rPr>
                <w:rFonts w:ascii="Times New Roman" w:hAnsi="Times New Roman"/>
                <w:sz w:val="24"/>
                <w:szCs w:val="24"/>
                <w:lang w:val="ro-RO"/>
              </w:rPr>
            </w:pPr>
            <w:r w:rsidRPr="00D05999">
              <w:rPr>
                <w:rFonts w:ascii="Times New Roman" w:hAnsi="Times New Roman"/>
                <w:sz w:val="24"/>
                <w:szCs w:val="24"/>
                <w:lang w:val="ro-RO"/>
              </w:rPr>
              <w:t>MADRM,</w:t>
            </w:r>
          </w:p>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CNSM, CNPM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modificarea listei locurilor de muncă încadrate în condiții speciale, ce oferă dreptul la pensionare în condiții avantajoase</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CNSM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08"/>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situația întreprinderilor aflate în proces de insolvabilitate</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MEI, CNSM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Despre personalizarea primei de asigurare obligatorie de asistență medicală</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MSMPS,</w:t>
            </w:r>
          </w:p>
          <w:p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MF,</w:t>
            </w:r>
          </w:p>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CNAM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inițierea procesului de ratificare a Convenției OIM nr. 190/2019 privind eliminarea violenței și a hărțuirii la locul de muncă</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MSMPS, CNSM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eastAsia="Times New Roman" w:hAnsi="Times New Roman"/>
                <w:sz w:val="24"/>
                <w:szCs w:val="24"/>
                <w:lang w:val="ro-RO" w:bidi="en-US"/>
              </w:rPr>
              <w:t xml:space="preserve">Proiectul de lege privind modificarea Legii cu privire </w:t>
            </w:r>
            <w:r w:rsidRPr="00D05999">
              <w:rPr>
                <w:rFonts w:ascii="Times New Roman" w:eastAsia="Times New Roman" w:hAnsi="Times New Roman"/>
                <w:sz w:val="24"/>
                <w:szCs w:val="24"/>
                <w:lang w:val="ro-RO" w:eastAsia="zh-TW" w:bidi="en-US"/>
              </w:rPr>
              <w:t>la promovarea ocupării forţei de muncă și asigurarea de șomaj nr. 105/2018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MSMPS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mai</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MSMPS</w:t>
            </w:r>
          </w:p>
        </w:tc>
      </w:tr>
      <w:tr w:rsidR="00D43956" w:rsidRPr="00347397"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shd w:val="clear" w:color="auto" w:fill="FFFFFF" w:themeFill="background1"/>
              <w:spacing w:after="0"/>
              <w:ind w:left="0"/>
              <w:rPr>
                <w:rFonts w:ascii="Times New Roman" w:hAnsi="Times New Roman"/>
                <w:sz w:val="24"/>
                <w:szCs w:val="24"/>
                <w:lang w:val="ro-RO"/>
              </w:rPr>
            </w:pPr>
            <w:r w:rsidRPr="00D05999">
              <w:rPr>
                <w:rFonts w:ascii="Times New Roman" w:hAnsi="Times New Roman"/>
                <w:sz w:val="24"/>
                <w:szCs w:val="24"/>
                <w:lang w:val="ro-RO"/>
              </w:rPr>
              <w:t xml:space="preserve">Cu privire la formarea și utilizarea resurselor Fondului Rutier </w:t>
            </w:r>
          </w:p>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bidi="en-US"/>
              </w:rPr>
            </w:pP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CNPM,</w:t>
            </w:r>
          </w:p>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Uniunea Transportatorilor și Drumarilor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Uniunea Transportatorilor și Drumarilor,</w:t>
            </w:r>
          </w:p>
          <w:p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MEI</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shd w:val="clear" w:color="auto" w:fill="FFFFFF" w:themeFill="background1"/>
              <w:spacing w:after="0"/>
              <w:ind w:left="0"/>
              <w:rPr>
                <w:rFonts w:ascii="Times New Roman" w:hAnsi="Times New Roman"/>
                <w:sz w:val="24"/>
                <w:szCs w:val="24"/>
                <w:lang w:val="ro-RO"/>
              </w:rPr>
            </w:pPr>
            <w:r w:rsidRPr="00D05999">
              <w:rPr>
                <w:rFonts w:ascii="Times New Roman" w:hAnsi="Times New Roman"/>
                <w:sz w:val="24"/>
                <w:szCs w:val="24"/>
                <w:lang w:val="ro-RO"/>
              </w:rPr>
              <w:t>Cu privire la modificarea Codului Muncii</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CNPM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mai</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CNPM, CNSM, MSMPS</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shd w:val="clear" w:color="auto" w:fill="FFFFFF" w:themeFill="background1"/>
              <w:tabs>
                <w:tab w:val="left" w:pos="34"/>
              </w:tabs>
              <w:spacing w:after="0"/>
              <w:ind w:left="0"/>
              <w:rPr>
                <w:rFonts w:ascii="Times New Roman" w:hAnsi="Times New Roman"/>
                <w:sz w:val="24"/>
                <w:szCs w:val="24"/>
                <w:lang w:val="ro-RO"/>
              </w:rPr>
            </w:pPr>
            <w:r w:rsidRPr="00D05999">
              <w:rPr>
                <w:rFonts w:ascii="Times New Roman" w:hAnsi="Times New Roman"/>
                <w:sz w:val="24"/>
                <w:szCs w:val="24"/>
                <w:lang w:val="ro-RO"/>
              </w:rPr>
              <w:tab/>
              <w:t>Cu privire la revendicările Federației Sindicale „Sănătatea”</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iunie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MSMPS, CNSM, CNPM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shd w:val="clear" w:color="auto" w:fill="FFFFFF" w:themeFill="background1"/>
              <w:spacing w:after="0"/>
              <w:ind w:left="0"/>
              <w:rPr>
                <w:rFonts w:ascii="Times New Roman" w:hAnsi="Times New Roman"/>
                <w:sz w:val="24"/>
                <w:szCs w:val="24"/>
                <w:lang w:val="ro-RO"/>
              </w:rPr>
            </w:pPr>
            <w:r w:rsidRPr="00D05999">
              <w:rPr>
                <w:rFonts w:ascii="Times New Roman" w:hAnsi="Times New Roman"/>
                <w:sz w:val="24"/>
                <w:szCs w:val="24"/>
                <w:lang w:val="ro-RO"/>
              </w:rPr>
              <w:t>Cu privire la respectarea convențiilor colective (nivel național)</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iunie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MSMPS, ISM, CNSM, CNPM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Proiectul obiectivelor politicii bugetar-fiscale și vamale, și estimărilor cadrului bugetar pe termen mediu (2021-2023)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MF,</w:t>
            </w:r>
          </w:p>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CNPM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iunie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MF</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hAnsi="Times New Roman"/>
                <w:sz w:val="24"/>
                <w:szCs w:val="24"/>
                <w:lang w:val="ro-RO"/>
              </w:rPr>
              <w:t>Cu privire la situația în domeniul securității și sănătății în muncă</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iunie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spacing w:after="0"/>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ISM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hAnsi="Times New Roman"/>
                <w:sz w:val="24"/>
                <w:szCs w:val="24"/>
                <w:lang w:val="ro-RO"/>
              </w:rPr>
              <w:t>Cu privire la inițierea procesului de ratificare a Convenției OIM nr. 149/1977 privind angajarea, condițiile de muncă și de trai ale asistenților medicali</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iunie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MSMPS, CNSM</w:t>
            </w:r>
          </w:p>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Proiectul de lege pentru modificarea unor acte legislative ce vizează politica fiscală și vamală pentru anul 2021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MF,</w:t>
            </w:r>
          </w:p>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CNPM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iunie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MF</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spacing w:after="0" w:line="240" w:lineRule="auto"/>
              <w:ind w:right="247"/>
              <w:jc w:val="both"/>
              <w:outlineLvl w:val="0"/>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Planul de activitate al Comisiei naționale pentru consultări și negocieri colective pentru semestrul II, anul 2020</w:t>
            </w:r>
          </w:p>
          <w:p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Secretariatul CNCNC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iunie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sidRPr="00D05999">
              <w:rPr>
                <w:rFonts w:ascii="Times New Roman" w:eastAsia="Times New Roman" w:hAnsi="Times New Roman"/>
                <w:sz w:val="24"/>
                <w:szCs w:val="24"/>
                <w:lang w:val="ro-RO" w:eastAsia="ru-RU"/>
              </w:rPr>
              <w:t>Secretariatul CNCNC</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0"/>
              </w:tabs>
              <w:spacing w:after="0" w:line="240" w:lineRule="auto"/>
              <w:ind w:right="247"/>
              <w:jc w:val="both"/>
              <w:outlineLvl w:val="0"/>
              <w:rPr>
                <w:rFonts w:ascii="Times New Roman" w:eastAsia="Times New Roman" w:hAnsi="Times New Roman"/>
                <w:sz w:val="24"/>
                <w:szCs w:val="24"/>
                <w:lang w:val="ro-RO" w:eastAsia="ru-RU"/>
              </w:rPr>
            </w:pPr>
            <w:r w:rsidRPr="00D05999">
              <w:rPr>
                <w:rFonts w:ascii="Times New Roman" w:hAnsi="Times New Roman"/>
                <w:sz w:val="24"/>
                <w:szCs w:val="24"/>
                <w:lang w:val="ro-RO"/>
              </w:rPr>
              <w:t xml:space="preserve">Cu privire la includerea în Programul unic de asigurări obligatorii de asistență medicală a examenului medical </w:t>
            </w:r>
            <w:r w:rsidRPr="00D05999">
              <w:rPr>
                <w:rFonts w:ascii="Times New Roman" w:hAnsi="Times New Roman"/>
                <w:sz w:val="24"/>
                <w:szCs w:val="24"/>
                <w:lang w:val="ro-RO"/>
              </w:rPr>
              <w:lastRenderedPageBreak/>
              <w:t>obligatoriu al salariaților din întreprinderile din domeniul alimentar, medical, servicii comunale</w:t>
            </w:r>
          </w:p>
        </w:tc>
        <w:tc>
          <w:tcPr>
            <w:tcW w:w="2410" w:type="dxa"/>
            <w:tcBorders>
              <w:top w:val="single" w:sz="4" w:space="0" w:color="auto"/>
              <w:left w:val="single" w:sz="4" w:space="0" w:color="auto"/>
              <w:bottom w:val="single" w:sz="4" w:space="0" w:color="auto"/>
              <w:right w:val="single" w:sz="4" w:space="0" w:color="auto"/>
            </w:tcBorders>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lastRenderedPageBreak/>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iunie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CNAM, MF, CNSM</w:t>
            </w:r>
          </w:p>
        </w:tc>
      </w:tr>
      <w:tr w:rsidR="00D43956" w:rsidRPr="00D43956" w:rsidTr="00D575A7">
        <w:trPr>
          <w:trHeight w:val="5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pStyle w:val="ListParagraph"/>
              <w:numPr>
                <w:ilvl w:val="0"/>
                <w:numId w:val="1"/>
              </w:numPr>
              <w:shd w:val="clear" w:color="auto" w:fill="FFFFFF" w:themeFill="background1"/>
              <w:tabs>
                <w:tab w:val="left" w:pos="13572"/>
              </w:tabs>
              <w:spacing w:after="0" w:line="240" w:lineRule="auto"/>
              <w:ind w:right="-391" w:hanging="612"/>
              <w:jc w:val="center"/>
              <w:rPr>
                <w:rFonts w:ascii="Times New Roman" w:eastAsia="Times New Roman" w:hAnsi="Times New Roman"/>
                <w:b/>
                <w:sz w:val="24"/>
                <w:szCs w:val="24"/>
                <w:lang w:val="ro-RO"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spacing w:after="0" w:line="240" w:lineRule="auto"/>
              <w:ind w:right="247"/>
              <w:jc w:val="both"/>
              <w:outlineLvl w:val="0"/>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plata indemnizației unice tinerilor specialiști încadrați în muncă conform repartizării, inclusiv în orașe și tinerilor specialiști din domeniul culturii</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iunie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43956" w:rsidRPr="00D05999" w:rsidRDefault="00D43956" w:rsidP="00D43956">
            <w:pPr>
              <w:shd w:val="clear" w:color="auto" w:fill="FFFFFF" w:themeFill="background1"/>
              <w:ind w:right="-5"/>
              <w:jc w:val="center"/>
              <w:rPr>
                <w:rFonts w:ascii="Times New Roman" w:hAnsi="Times New Roman"/>
                <w:sz w:val="24"/>
                <w:szCs w:val="24"/>
                <w:lang w:val="ro-RO"/>
              </w:rPr>
            </w:pPr>
            <w:r w:rsidRPr="00D05999">
              <w:rPr>
                <w:rFonts w:ascii="Times New Roman" w:hAnsi="Times New Roman"/>
                <w:sz w:val="24"/>
                <w:szCs w:val="24"/>
                <w:lang w:val="ro-RO"/>
              </w:rPr>
              <w:t>MECC, MF, CNSM</w:t>
            </w:r>
          </w:p>
          <w:p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p>
        </w:tc>
      </w:tr>
    </w:tbl>
    <w:p w:rsidR="00D43956" w:rsidRPr="00D05999" w:rsidRDefault="00D43956" w:rsidP="00D43956">
      <w:pPr>
        <w:shd w:val="clear" w:color="auto" w:fill="FFFFFF" w:themeFill="background1"/>
        <w:spacing w:after="0" w:line="240" w:lineRule="auto"/>
        <w:ind w:right="-378"/>
        <w:jc w:val="both"/>
        <w:outlineLvl w:val="0"/>
        <w:rPr>
          <w:rFonts w:ascii="Times New Roman" w:eastAsia="Times New Roman" w:hAnsi="Times New Roman"/>
          <w:bCs/>
          <w:i/>
          <w:iCs/>
          <w:sz w:val="24"/>
          <w:szCs w:val="24"/>
          <w:lang w:val="ro-RO" w:eastAsia="ru-RU"/>
        </w:rPr>
      </w:pPr>
    </w:p>
    <w:sectPr w:rsidR="00D43956" w:rsidRPr="00D05999" w:rsidSect="00347397">
      <w:pgSz w:w="15840" w:h="12240" w:orient="landscape"/>
      <w:pgMar w:top="810"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3F60E5"/>
    <w:multiLevelType w:val="hybridMultilevel"/>
    <w:tmpl w:val="7C90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84D2C"/>
    <w:multiLevelType w:val="hybridMultilevel"/>
    <w:tmpl w:val="A41C359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56"/>
    <w:rsid w:val="00175DD3"/>
    <w:rsid w:val="00202F60"/>
    <w:rsid w:val="003102D1"/>
    <w:rsid w:val="00347397"/>
    <w:rsid w:val="00640BF8"/>
    <w:rsid w:val="006C3A7A"/>
    <w:rsid w:val="00741247"/>
    <w:rsid w:val="009252E0"/>
    <w:rsid w:val="00A356FB"/>
    <w:rsid w:val="00A70981"/>
    <w:rsid w:val="00B32DFE"/>
    <w:rsid w:val="00B43243"/>
    <w:rsid w:val="00BB12E2"/>
    <w:rsid w:val="00BE7292"/>
    <w:rsid w:val="00D23FF5"/>
    <w:rsid w:val="00D43956"/>
    <w:rsid w:val="00D575A7"/>
    <w:rsid w:val="00DA7D91"/>
    <w:rsid w:val="00DB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239E0-DE6C-4AFF-8566-4FE7DED9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956"/>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960</Words>
  <Characters>5477</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Emilia Cebotari</cp:lastModifiedBy>
  <cp:revision>3</cp:revision>
  <dcterms:created xsi:type="dcterms:W3CDTF">2020-03-03T11:28:00Z</dcterms:created>
  <dcterms:modified xsi:type="dcterms:W3CDTF">2020-03-03T11:30:00Z</dcterms:modified>
</cp:coreProperties>
</file>